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0" w:rsidRPr="003024EC" w:rsidRDefault="00AF4D50" w:rsidP="00AF4D50">
      <w:pPr>
        <w:tabs>
          <w:tab w:val="left" w:pos="4500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   КОЖЕВНИКОВСКОГО   СЕЛЬСКОГО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>ПОСЕЛЕНИЯ</w:t>
      </w:r>
    </w:p>
    <w:p w:rsidR="00AF4D50" w:rsidRPr="00EE4B72" w:rsidRDefault="00AF4D50" w:rsidP="00AF4D50">
      <w:pPr>
        <w:tabs>
          <w:tab w:val="left" w:pos="4500"/>
        </w:tabs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</w:t>
      </w: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</w:p>
    <w:p w:rsidR="00AF4D50" w:rsidRPr="00EE4B72" w:rsidRDefault="00AF4D50" w:rsidP="00AF4D5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F4D50" w:rsidRPr="00EE4B72" w:rsidRDefault="009E26AE" w:rsidP="00AF4D50">
      <w:pPr>
        <w:spacing w:before="24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AF4D50" w:rsidRPr="00EE4B72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F4D50" w:rsidRPr="00EE4B72">
        <w:rPr>
          <w:rFonts w:ascii="Times New Roman" w:eastAsia="Calibri" w:hAnsi="Times New Roman" w:cs="Times New Roman"/>
          <w:bCs/>
          <w:sz w:val="28"/>
          <w:szCs w:val="28"/>
        </w:rPr>
        <w:t xml:space="preserve">.2017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124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AF4D50" w:rsidRPr="00EE4B72" w:rsidTr="00D92D7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D50" w:rsidRDefault="00AF4D50" w:rsidP="00D9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EE4B7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Кожевниковского</w:t>
            </w:r>
          </w:p>
          <w:p w:rsidR="00AF4D50" w:rsidRPr="00EE4B72" w:rsidRDefault="00AF4D50" w:rsidP="00D9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EE4B72">
              <w:rPr>
                <w:rFonts w:ascii="Times New Roman" w:hAnsi="Times New Roman"/>
                <w:sz w:val="28"/>
                <w:szCs w:val="28"/>
              </w:rPr>
              <w:t>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B72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17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ьи 4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</w:t>
      </w:r>
      <w:r w:rsidRPr="00EE4B72">
        <w:rPr>
          <w:rFonts w:ascii="Times New Roman" w:hAnsi="Times New Roman"/>
          <w:sz w:val="28"/>
          <w:szCs w:val="28"/>
        </w:rPr>
        <w:t xml:space="preserve">Благоустройство </w:t>
      </w:r>
      <w:r w:rsidRPr="003024EC">
        <w:rPr>
          <w:rFonts w:ascii="Times New Roman" w:hAnsi="Times New Roman"/>
          <w:sz w:val="28"/>
          <w:szCs w:val="28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8"/>
          <w:szCs w:val="28"/>
        </w:rPr>
        <w:t>на 2017 год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сельского поселения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r w:rsidRPr="00EE4B7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Pr="00302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kozhreg</w:t>
      </w:r>
      <w:proofErr w:type="spellEnd"/>
      <w:r w:rsidRPr="00302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/)</w:t>
      </w:r>
    </w:p>
    <w:p w:rsidR="00AF4D50" w:rsidRPr="003024EC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Кожевниковского сельского поселения по вопросам жизнеобеспечения Семенова И.А.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Кожевниковского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М.В. Андреев 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Семенова А.Н.</w:t>
      </w:r>
    </w:p>
    <w:p w:rsidR="00AF4D50" w:rsidRPr="00EE4B72" w:rsidRDefault="00AF4D50" w:rsidP="00AF4D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8(38244) 44714</w:t>
      </w: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к постановлению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Администрации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Кожевниковского сельского поселения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от  </w:t>
      </w:r>
      <w:r w:rsidR="009E26AE">
        <w:rPr>
          <w:rFonts w:ascii="Times New Roman" w:eastAsia="Calibri" w:hAnsi="Times New Roman" w:cs="Times New Roman"/>
          <w:sz w:val="18"/>
          <w:szCs w:val="18"/>
        </w:rPr>
        <w:t>17</w:t>
      </w:r>
      <w:r w:rsidRPr="00EE4B72">
        <w:rPr>
          <w:rFonts w:ascii="Times New Roman" w:eastAsia="Calibri" w:hAnsi="Times New Roman" w:cs="Times New Roman"/>
          <w:sz w:val="18"/>
          <w:szCs w:val="18"/>
        </w:rPr>
        <w:t>.0</w:t>
      </w:r>
      <w:r w:rsidR="009E26AE">
        <w:rPr>
          <w:rFonts w:ascii="Times New Roman" w:eastAsia="Calibri" w:hAnsi="Times New Roman" w:cs="Times New Roman"/>
          <w:sz w:val="18"/>
          <w:szCs w:val="18"/>
        </w:rPr>
        <w:t>4</w:t>
      </w: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.2017 № </w:t>
      </w:r>
      <w:r w:rsidR="009E26AE">
        <w:rPr>
          <w:rFonts w:ascii="Times New Roman" w:eastAsia="Calibri" w:hAnsi="Times New Roman" w:cs="Times New Roman"/>
          <w:sz w:val="18"/>
          <w:szCs w:val="18"/>
        </w:rPr>
        <w:t>124</w:t>
      </w:r>
      <w:bookmarkStart w:id="0" w:name="_GoBack"/>
      <w:bookmarkEnd w:id="0"/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4B7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КОЖЕВНИКОВСКОГО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EE4B72">
        <w:rPr>
          <w:rFonts w:ascii="Times New Roman" w:hAnsi="Times New Roman"/>
          <w:b/>
          <w:sz w:val="28"/>
          <w:szCs w:val="28"/>
        </w:rPr>
        <w:t xml:space="preserve"> 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EE4B72">
        <w:rPr>
          <w:rFonts w:ascii="Times New Roman" w:eastAsia="Calibri" w:hAnsi="Times New Roman"/>
          <w:b/>
          <w:sz w:val="28"/>
          <w:szCs w:val="28"/>
        </w:rPr>
        <w:t>»</w:t>
      </w:r>
    </w:p>
    <w:p w:rsidR="00AF4D50" w:rsidRPr="00EE4B72" w:rsidRDefault="00AF4D50" w:rsidP="00AF4D50">
      <w:pPr>
        <w:rPr>
          <w:rFonts w:ascii="Times New Roman" w:eastAsia="Times New Roman" w:hAnsi="Times New Roman" w:cs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</w:tr>
      <w:tr w:rsidR="00AF4D50" w:rsidRPr="00EE4B72" w:rsidTr="00D92D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</w:tr>
      <w:tr w:rsidR="00AF4D50" w:rsidRPr="00EE4B72" w:rsidTr="00D92D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Стратегическая цель  социально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Кожевниковского сельского поселения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1) Совершенствование системы комплексного благоустройства муниципального образования «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854010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3) Совершенствование </w:t>
            </w: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010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среды.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Пропаганда благоприятной экологической обстановки и безопасности;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Усиление контроля над использованием, охраной и благоустройством территорий.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4D50" w:rsidRPr="00EE4B72" w:rsidTr="00D92D78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F4D50" w:rsidRPr="00EE4B72" w:rsidTr="00D92D78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1E"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1E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Реализацию МП (подпрограммы МП) осуществляет 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реализацией МП осуществляет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 по вопросам жизнеобеспечения Семенов И.А.</w:t>
            </w:r>
            <w:r w:rsidRPr="00EE4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Текущий контроль и мониторинг реализации МП осуществляет 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AF4D50" w:rsidRPr="00EE4B72" w:rsidRDefault="00AF4D50" w:rsidP="00AF4D5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Характеристика проблемы и обоснование необходимости её решения программными методами</w:t>
      </w:r>
    </w:p>
    <w:p w:rsidR="00AF4D50" w:rsidRPr="00EE4B72" w:rsidRDefault="00AF4D50" w:rsidP="00AF4D50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AF4D50" w:rsidRPr="00EE4B72" w:rsidRDefault="00AF4D50" w:rsidP="00AF4D50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последние годы в </w:t>
      </w:r>
      <w:r w:rsidRPr="00854010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м</w:t>
      </w:r>
      <w:r w:rsidRPr="0085401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Pr="0085401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EE4B72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настоящее время уличное освещение составляет </w:t>
      </w:r>
      <w:r>
        <w:rPr>
          <w:rFonts w:ascii="Times New Roman" w:hAnsi="Times New Roman"/>
          <w:sz w:val="24"/>
          <w:szCs w:val="24"/>
        </w:rPr>
        <w:t>9</w:t>
      </w:r>
      <w:r w:rsidRPr="00EE4B72">
        <w:rPr>
          <w:rFonts w:ascii="Times New Roman" w:hAnsi="Times New Roman"/>
          <w:sz w:val="24"/>
          <w:szCs w:val="24"/>
        </w:rPr>
        <w:t>0% от необходимого,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B72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B72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</w:t>
      </w:r>
      <w:r>
        <w:rPr>
          <w:rFonts w:ascii="Times New Roman" w:hAnsi="Times New Roman"/>
          <w:sz w:val="24"/>
          <w:szCs w:val="24"/>
        </w:rPr>
        <w:t xml:space="preserve">в местного самоуправления </w:t>
      </w:r>
      <w:r w:rsidRPr="002D2CC2">
        <w:rPr>
          <w:rFonts w:ascii="Times New Roman" w:hAnsi="Times New Roman"/>
          <w:sz w:val="24"/>
          <w:szCs w:val="24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4"/>
          <w:szCs w:val="24"/>
        </w:rPr>
        <w:t>с привлечением предприятий и организаций, наличия финансирования с привлечением источников всех уровней.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F4D50" w:rsidRPr="00EE4B72" w:rsidRDefault="00AF4D50" w:rsidP="00AF4D50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AF4D50" w:rsidRPr="00EE4B72" w:rsidRDefault="00AF4D50" w:rsidP="00AF4D50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EE4B7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AF4D50" w:rsidRPr="00EE4B72" w:rsidRDefault="00AF4D50" w:rsidP="00AF4D5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2. Основные цели и задачи, сроки и этапы реализации, 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 w:rsidRPr="002D2CC2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 По результатам проведения анализа сформулированы цели, задачи и направления деятельности при осуществлении программы.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Данная Программа </w:t>
      </w:r>
      <w:proofErr w:type="gramStart"/>
      <w:r w:rsidRPr="00EE4B72">
        <w:rPr>
          <w:rFonts w:ascii="Times New Roman" w:hAnsi="Times New Roman"/>
          <w:sz w:val="24"/>
          <w:szCs w:val="24"/>
        </w:rPr>
        <w:t xml:space="preserve">направлена на обеспечение комфортного уровня проживания граждан на территории населенных пунктов </w:t>
      </w:r>
      <w:r w:rsidRPr="002D2CC2">
        <w:rPr>
          <w:rFonts w:ascii="Times New Roman" w:hAnsi="Times New Roman"/>
          <w:sz w:val="24"/>
          <w:szCs w:val="24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4"/>
          <w:szCs w:val="24"/>
        </w:rPr>
        <w:t>и включает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следующие направления для реализации: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</w:t>
      </w:r>
      <w:r w:rsidRPr="002D2CC2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е</w:t>
      </w:r>
      <w:r w:rsidRPr="002D2CC2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2D2CC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EE4B72">
        <w:rPr>
          <w:rFonts w:ascii="Times New Roman" w:hAnsi="Times New Roman"/>
          <w:sz w:val="24"/>
          <w:szCs w:val="24"/>
        </w:rPr>
        <w:t>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4B72">
        <w:rPr>
          <w:rFonts w:ascii="Times New Roman" w:hAnsi="Times New Roman"/>
          <w:sz w:val="24"/>
          <w:szCs w:val="24"/>
        </w:rPr>
        <w:t>Повышение уровня внешнего благоустройства и</w:t>
      </w:r>
      <w:r w:rsidRPr="00EE4B7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</w:t>
      </w:r>
      <w:r w:rsidRPr="002D2CC2">
        <w:rPr>
          <w:rFonts w:ascii="Times New Roman" w:hAnsi="Times New Roman"/>
          <w:color w:val="000000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color w:val="000000"/>
          <w:sz w:val="24"/>
          <w:szCs w:val="24"/>
        </w:rPr>
        <w:t>;</w:t>
      </w:r>
      <w:r w:rsidRPr="00EE4B72">
        <w:rPr>
          <w:rFonts w:ascii="Times New Roman" w:hAnsi="Times New Roman"/>
          <w:sz w:val="24"/>
          <w:szCs w:val="24"/>
        </w:rPr>
        <w:t xml:space="preserve">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3) Совершенствование </w:t>
      </w:r>
      <w:proofErr w:type="gramStart"/>
      <w:r w:rsidRPr="00EE4B7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</w:t>
      </w:r>
      <w:r w:rsidRPr="002D2CC2">
        <w:rPr>
          <w:rFonts w:ascii="Times New Roman" w:hAnsi="Times New Roman"/>
          <w:color w:val="000000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AF4D50" w:rsidRPr="00EE4B72" w:rsidTr="00D92D78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50" w:rsidRPr="00EE4B72" w:rsidTr="00D92D78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в жилых кварталах и на территориях сельск</w:t>
      </w:r>
      <w:r>
        <w:rPr>
          <w:rFonts w:ascii="Times New Roman" w:hAnsi="Times New Roman"/>
          <w:sz w:val="24"/>
          <w:szCs w:val="24"/>
        </w:rPr>
        <w:t>ого</w:t>
      </w:r>
      <w:r w:rsidRPr="00EE4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E4B72">
        <w:rPr>
          <w:rFonts w:ascii="Times New Roman" w:hAnsi="Times New Roman"/>
          <w:sz w:val="24"/>
          <w:szCs w:val="24"/>
        </w:rPr>
        <w:t xml:space="preserve">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сложившемся положении необходимо продолжать комплексное благоустройство в районе и создать комфортную среду для проживания граждан </w:t>
      </w:r>
      <w:r w:rsidRPr="002D2CC2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</w:t>
      </w:r>
      <w:r w:rsidRPr="00EE4B72">
        <w:rPr>
          <w:rFonts w:ascii="Times New Roman" w:hAnsi="Times New Roman"/>
          <w:sz w:val="24"/>
          <w:szCs w:val="24"/>
        </w:rPr>
        <w:lastRenderedPageBreak/>
        <w:t xml:space="preserve">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AF4D50" w:rsidRDefault="00AF4D50" w:rsidP="00AF4D5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Содержание существующих объектов благоустройства;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E4B72">
        <w:rPr>
          <w:rFonts w:ascii="Times New Roman" w:hAnsi="Times New Roman"/>
          <w:color w:val="000000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4B7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4B7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E4B7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2.3. Условия досрочного прекращения реализации Программы.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программ, утвержденными постановлением Администрации Кожевниковского сельского поселения «</w:t>
      </w:r>
      <w:r w:rsidRPr="0096180F">
        <w:rPr>
          <w:b w:val="0"/>
        </w:rPr>
        <w:t>Об утверждении Порядка принятия решений о разработке  муниципальных программ и их формирования и реализации, Порядка проведения и критерии оценки эффективности реализации  муниципальных программ</w:t>
      </w:r>
      <w:r>
        <w:rPr>
          <w:b w:val="0"/>
        </w:rPr>
        <w:t>» от 15.05.2015 № 139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rPr>
          <w:rFonts w:ascii="Times New Roman" w:eastAsia="Times New Roman" w:hAnsi="Times New Roman" w:cs="Times New Roman"/>
          <w:sz w:val="24"/>
          <w:szCs w:val="24"/>
        </w:rPr>
        <w:sectPr w:rsidR="00AF4D50" w:rsidRPr="00EE4B72" w:rsidSect="00C4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AF4D50" w:rsidRPr="005C6C77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02"/>
        <w:gridCol w:w="1557"/>
        <w:gridCol w:w="6"/>
        <w:gridCol w:w="3249"/>
        <w:gridCol w:w="1570"/>
        <w:gridCol w:w="3823"/>
        <w:gridCol w:w="1143"/>
      </w:tblGrid>
      <w:tr w:rsidR="00AF4D50" w:rsidRPr="00616AC6" w:rsidTr="00D92D78">
        <w:tc>
          <w:tcPr>
            <w:tcW w:w="3502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57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55" w:type="dxa"/>
            <w:gridSpan w:val="2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3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AF4D50" w:rsidRPr="00616AC6" w:rsidTr="00D92D78">
        <w:tc>
          <w:tcPr>
            <w:tcW w:w="3502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3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AF4D50" w:rsidRPr="00616AC6" w:rsidTr="00D92D78"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существующих объектов благоустройства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268,12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4D50" w:rsidRPr="00616AC6" w:rsidTr="00D92D78"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2.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515"/>
        </w:trPr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и местный бюджет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511,34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832453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515"/>
        </w:trPr>
        <w:tc>
          <w:tcPr>
            <w:tcW w:w="14850" w:type="dxa"/>
            <w:gridSpan w:val="7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488"/>
        </w:trPr>
        <w:tc>
          <w:tcPr>
            <w:tcW w:w="3502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D50" w:rsidRPr="00616AC6" w:rsidTr="00D92D78">
        <w:trPr>
          <w:trHeight w:val="441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4D50" w:rsidRPr="00616AC6" w:rsidTr="00D92D78">
        <w:trPr>
          <w:trHeight w:val="230"/>
        </w:trPr>
        <w:tc>
          <w:tcPr>
            <w:tcW w:w="3502" w:type="dxa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4D50" w:rsidRPr="00616AC6" w:rsidTr="00D92D78">
        <w:trPr>
          <w:trHeight w:val="451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AF4D50" w:rsidRPr="00616AC6" w:rsidTr="00D92D78"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4D50" w:rsidRPr="00616AC6" w:rsidTr="00D92D78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AF4D50" w:rsidRPr="00616AC6" w:rsidTr="00D92D78"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Количество выездов, 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 w:val="restart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812" w:type="dxa"/>
            <w:gridSpan w:val="3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70" w:type="dxa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11,34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dxa"/>
            <w:gridSpan w:val="3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2268,12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812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2279,46</w:t>
            </w:r>
          </w:p>
        </w:tc>
      </w:tr>
    </w:tbl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AF4D50" w:rsidRPr="00EE4B7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4. Ресурсное обеспечение, сроки и источники финансирования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Источником финансирования Программы является бюджет </w:t>
      </w:r>
      <w:r>
        <w:rPr>
          <w:rFonts w:ascii="Times New Roman" w:hAnsi="Times New Roman"/>
          <w:sz w:val="24"/>
          <w:szCs w:val="24"/>
        </w:rPr>
        <w:t xml:space="preserve">Кожевниковского сельского поселения в соответствии с решениями о бюджете </w:t>
      </w:r>
      <w:r w:rsidRPr="0096180F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EE4B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E4B72">
        <w:rPr>
          <w:rFonts w:ascii="Times New Roman" w:hAnsi="Times New Roman"/>
          <w:sz w:val="24"/>
          <w:szCs w:val="24"/>
        </w:rPr>
        <w:t xml:space="preserve"> мероприятий Программы из федерального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4B72">
        <w:rPr>
          <w:rFonts w:ascii="Times New Roman" w:hAnsi="Times New Roman"/>
          <w:sz w:val="24"/>
          <w:szCs w:val="24"/>
        </w:rPr>
        <w:t xml:space="preserve">областного </w:t>
      </w:r>
      <w:r>
        <w:rPr>
          <w:rFonts w:ascii="Times New Roman" w:hAnsi="Times New Roman"/>
          <w:sz w:val="24"/>
          <w:szCs w:val="24"/>
        </w:rPr>
        <w:t xml:space="preserve"> и районного </w:t>
      </w:r>
      <w:r w:rsidRPr="00EE4B72">
        <w:rPr>
          <w:rFonts w:ascii="Times New Roman" w:hAnsi="Times New Roman"/>
          <w:sz w:val="24"/>
          <w:szCs w:val="24"/>
        </w:rPr>
        <w:t>бюджетов при условии участия в соответствующих областных и федеральных программах.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Общий объем и источники финансирования Программы представлен в Таблице 3.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AF4D50" w:rsidRPr="00173FC1" w:rsidTr="00D92D78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4.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96180F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Pr="0096180F">
        <w:rPr>
          <w:rFonts w:ascii="Times New Roman" w:hAnsi="Times New Roman"/>
          <w:sz w:val="24"/>
          <w:szCs w:val="24"/>
        </w:rPr>
        <w:t>Администрация Кожевниковского сельского поселения.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</w:t>
      </w:r>
      <w:r>
        <w:rPr>
          <w:rFonts w:ascii="Times New Roman" w:hAnsi="Times New Roman"/>
          <w:sz w:val="24"/>
          <w:szCs w:val="24"/>
        </w:rPr>
        <w:t>Кожевниковского сельского поселения по вопросам жизнеобеспечения И.А. Семенов</w:t>
      </w:r>
      <w:r w:rsidRPr="00EE4B72">
        <w:rPr>
          <w:rFonts w:ascii="Times New Roman" w:hAnsi="Times New Roman"/>
          <w:i/>
          <w:sz w:val="24"/>
          <w:szCs w:val="24"/>
        </w:rPr>
        <w:t xml:space="preserve">. </w:t>
      </w:r>
      <w:r w:rsidRPr="00EE4B72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</w:t>
      </w:r>
      <w:r w:rsidRPr="0096180F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6.1. Оценка социально-экономических и экологических последствий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 w:rsidRPr="0096180F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е</w:t>
      </w:r>
      <w:r w:rsidRPr="0096180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96180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EE4B72">
        <w:rPr>
          <w:rFonts w:ascii="Times New Roman" w:hAnsi="Times New Roman"/>
          <w:sz w:val="24"/>
          <w:szCs w:val="24"/>
        </w:rPr>
        <w:t>».</w:t>
      </w:r>
    </w:p>
    <w:p w:rsidR="00AF4D50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 xml:space="preserve">Мероприятия Программы позволят улучшить социально-экономическую и экологическую обстановку в </w:t>
      </w:r>
      <w:r>
        <w:rPr>
          <w:rFonts w:ascii="Times New Roman" w:hAnsi="Times New Roman"/>
          <w:sz w:val="24"/>
          <w:szCs w:val="24"/>
        </w:rPr>
        <w:t>поселении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6.2. Оценка эффективности.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173FC1">
        <w:rPr>
          <w:b w:val="0"/>
        </w:rPr>
        <w:t xml:space="preserve"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программ, утвержденных постановлением администрации </w:t>
      </w:r>
      <w:r>
        <w:rPr>
          <w:b w:val="0"/>
        </w:rPr>
        <w:t>Кожевниковского сельского поселения</w:t>
      </w:r>
      <w:r w:rsidRPr="00173FC1">
        <w:rPr>
          <w:b w:val="0"/>
        </w:rPr>
        <w:t xml:space="preserve"> «</w:t>
      </w:r>
      <w:r w:rsidRPr="0096180F">
        <w:rPr>
          <w:b w:val="0"/>
        </w:rPr>
        <w:t>Об утверждении Порядка принятия решений о разработке  муниципальных программ и их формирования и реализации, Порядка проведения и критерии оценки эффективности реализации  муниципальных программ</w:t>
      </w:r>
      <w:r w:rsidRPr="00173FC1">
        <w:rPr>
          <w:b w:val="0"/>
        </w:rPr>
        <w:t>» от 1</w:t>
      </w:r>
      <w:r>
        <w:rPr>
          <w:b w:val="0"/>
        </w:rPr>
        <w:t>5</w:t>
      </w:r>
      <w:r w:rsidRPr="00173FC1">
        <w:rPr>
          <w:b w:val="0"/>
        </w:rPr>
        <w:t>.0</w:t>
      </w:r>
      <w:r>
        <w:rPr>
          <w:b w:val="0"/>
        </w:rPr>
        <w:t>5.2015</w:t>
      </w:r>
      <w:r w:rsidRPr="00173FC1">
        <w:rPr>
          <w:b w:val="0"/>
        </w:rPr>
        <w:t xml:space="preserve"> № </w:t>
      </w:r>
      <w:r>
        <w:rPr>
          <w:b w:val="0"/>
        </w:rPr>
        <w:t>139</w:t>
      </w:r>
      <w:r w:rsidRPr="00173FC1">
        <w:rPr>
          <w:b w:val="0"/>
        </w:rPr>
        <w:t>.</w:t>
      </w:r>
      <w:proofErr w:type="gramEnd"/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r w:rsidRPr="00EE4B72">
        <w:rPr>
          <w:b w:val="0"/>
        </w:rPr>
        <w:t>Показатели оценки эффективности представлены в Таблице 5.</w:t>
      </w:r>
    </w:p>
    <w:p w:rsidR="00AF4D50" w:rsidRPr="00EE4B72" w:rsidRDefault="00AF4D50" w:rsidP="00AF4D50">
      <w:pPr>
        <w:pStyle w:val="ConsPlusTitle"/>
        <w:widowControl/>
        <w:ind w:firstLine="708"/>
        <w:jc w:val="right"/>
        <w:rPr>
          <w:b w:val="0"/>
        </w:rPr>
      </w:pPr>
      <w:r w:rsidRPr="00EE4B72">
        <w:rPr>
          <w:b w:val="0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2017 год</w:t>
            </w:r>
          </w:p>
        </w:tc>
      </w:tr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1. Количество б</w:t>
            </w:r>
            <w:r w:rsidRPr="00EE4B7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D50" w:rsidRPr="00CC02E1" w:rsidTr="00D92D78">
        <w:trPr>
          <w:trHeight w:val="96"/>
        </w:trPr>
        <w:tc>
          <w:tcPr>
            <w:tcW w:w="7479" w:type="dxa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4D50" w:rsidRDefault="00AF4D50" w:rsidP="00AF4D50">
      <w:pPr>
        <w:pStyle w:val="ConsPlusTitle"/>
        <w:widowControl/>
        <w:jc w:val="center"/>
      </w:pPr>
    </w:p>
    <w:p w:rsidR="00B30424" w:rsidRDefault="009E26AE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                                                                                               Приложение 1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</w:t>
      </w:r>
      <w:proofErr w:type="gramEnd"/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постановлению Администрации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Кожевниковского сельского поселения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от  «___»                   2017 г. № ___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Порядок представления, рассмотрения и оценки предложений 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1. Общие положения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1.1. Настоящий Порядок представления, рассмотрения и оценки предложений            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 разработан в целях реализации муниципальной программы «Благоустройство территории Кожевниковского сельского поселения на 2017 год» для  формирования адресного перечня наиболее посещаемых муниципальных территорий общего пользования (далее - Перечень) и их последующего включения в Программу для проведения работ по благоустройству.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1.2. Наиболее посещаемая муниципальная территория общего пользования, включается в Программу, путем отбора предложений, о выборе территории подлежащей обязательному благоустройству (далее - заявка) по форме,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согласно Приложения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№1 настоящего Порядка.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1.3. Оценка заявок осуществляется по критериям, установленным настоящим            Порядком.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1.4. Оценка заявки проводится комиссией по рассмотрению и оценки  предложений граждан о включении в Программу наиболее посещаемой муниципальной территории        общего пользования (далее - Комиссия).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1.5. Отбор наиболее посещаемой муниципальной территории общего пользования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1.6. К отбору для включения в Программу допускаются наиболее посещаемые            муниципальные территории общего пользования находящиеся в населенных пунктах на          территории Кожевниковского сельского поселения с численностью населения более 100 человек.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- «уполномоченный орган»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посещаемой муниципальной территории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-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орган администрации, назначенный постановлением администрации МО  «Кожевниковское сельское поселение», который отвечает за   организацию и проведение          отбора наиболее посещаемой муниципальной территории общего пользования (далее по            тексту – Уполномоченный орган);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D50">
        <w:rPr>
          <w:rFonts w:ascii="Times New Roman" w:eastAsia="Calibri" w:hAnsi="Times New Roman" w:cs="Times New Roman"/>
          <w:sz w:val="24"/>
          <w:szCs w:val="24"/>
        </w:rPr>
        <w:tab/>
        <w:t>-«муниципальные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D50">
        <w:rPr>
          <w:rFonts w:ascii="Times New Roman" w:eastAsia="Times New Roman" w:hAnsi="Times New Roman" w:cs="Times New Roman"/>
          <w:sz w:val="24"/>
          <w:szCs w:val="24"/>
        </w:rPr>
        <w:t>- «</w:t>
      </w:r>
      <w:r w:rsidRPr="00AF4D50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территории»</w:t>
      </w:r>
      <w:r w:rsidRPr="00AF4D50">
        <w:rPr>
          <w:rFonts w:ascii="Times New Roman" w:eastAsia="Times New Roman" w:hAnsi="Times New Roman" w:cs="Times New Roman"/>
          <w:sz w:val="24"/>
          <w:szCs w:val="24"/>
        </w:rPr>
        <w:t> 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D50">
        <w:rPr>
          <w:rFonts w:ascii="Times New Roman" w:eastAsia="Times New Roman" w:hAnsi="Times New Roman" w:cs="Times New Roman"/>
          <w:sz w:val="24"/>
          <w:szCs w:val="24"/>
        </w:rPr>
        <w:t>-«</w:t>
      </w:r>
      <w:r w:rsidRPr="00AF4D50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озеленение» </w:t>
      </w:r>
      <w:r w:rsidRPr="00AF4D50">
        <w:rPr>
          <w:rFonts w:ascii="Times New Roman" w:eastAsia="Times New Roman" w:hAnsi="Times New Roman" w:cs="Times New Roman"/>
          <w:sz w:val="24"/>
          <w:szCs w:val="24"/>
        </w:rPr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AF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компонентов, а также поддержание ранее созданной или  изначально существующей природной среды на территории;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-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заявка- заявка на участие в отборе для формирования адресного перечня на включение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наиболее посещаемой территории общего пользования в Программу;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-«участник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посещаемой муниципальной территории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>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-«дизайн-проект» –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-«акт обследования наиболее посещаемой муниципальной территории общего пользования»- документ, составленный по форме, указанной в приложении № 2 к настоящему Порядку, на основании осмотра наиболее посещаемой территории общего пользования, подписанный представителем некоммерческих организаций, трудовых коллективов или не менее чем тремя  участниками инициативной группы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2. Условия участия в отборе, порядок представления предложений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Заявки на участие в отборе подаются населением, некоммерческими организациями, трудовыми коллективами.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 имени населения выступает инициативная группа граждан, обладающая активным избирательным правом, численностью не менее 10 человек (далее – участник отбора). Решение инициативной группы оформляется протоколом.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 имени некоммерческих организаций, трудовых коллективов выступает представитель соответствующей организации, определенный протоколом общего собрания.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протоколе инициативной группы либо общего собрания некоммерческой организации или трудового коллектива, содержится следующая информация: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о включении наиболее посещаемой муниципальной территории общего пользования в муниципальную программу;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-об утверждении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дизайн-проекта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благоустройства наиболее посещаемой муниципальной территории общего пользования либо об утверждении проектно-сметной документации;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о представителе (представителях) заинтересованных лиц, уполномоченных на         представление заявки, а также на участие в контроле, в том числе промежуточном, и приемке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работ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 благоустройству наиболее посещаемой муниципальной территории общего пользования.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Необходимыми условиями для включения в муниципальную программу            являются: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2.2.1. наличие акта обследования наиболее посещаемой муниципальной территории общего пользования, составленного по форме указанной в Приложении №2 к настоящему Порядку.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2.2.2. наличие дизайн - проекта благоустройства наиболее посещаемой                          муниципальной территории общего пользования, соответствующий требованиям, указанным в Приложении №3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3. Порядок подачи документов для участия в отборе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«Кожевниковское сельское поселение» в информационно - телекоммуникационной сети Интернет и в районной газете «Знамя Труда».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Заявки принимаются в течение периода указанного в сообщении.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3.3.</w:t>
      </w:r>
      <w:r w:rsidRPr="00AF4D50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 заявке прилагаются: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- акт  обследования наиболее посещаемой муниципальной территории общего пользования, составленного по форме указанной в Приложении №2 к настоящему Порядку. 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дизайн-проект благоустройства наиболее посещаемой муниципальной территории общего пользования, соответствующий требованиям, указанным в Приложении №3 к настоящему Порядку. 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заверенная копия протокола инициативной группы либо общего собрания некоммерческой организации или трудового коллектива,</w:t>
      </w:r>
      <w:r w:rsidRPr="00AF4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с принятыми решениями по вопросам, указанным в подпункте 2.1 раздела 2 настоящего Порядка.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3.4.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Уполномоченный орган регистрирует заявки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 участие в отборе в день их поступления в журнале регистрации заявок на участие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отборе в порядке очередности поступления. На заявке в отборе на участие ставится отметка о получении такой заявки с указанием даты и времени ее получения.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Все листы заявки на участие в отборе и прилагаемые документы на участие в отборе должны быть прошиты,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пронумерованы и подписаны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участником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Для юридических лиц заявка на участие в отборе должна быть скреплена печатью участника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3.5.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на участие в отборе с приложением пакета документов  указанных в пункте 3.3 настоящего Порядка направляется в адрес уполномоченного органа в сроки, указанные в сообщении о проведении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3.7.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на участие в отборе не допускается к участию в случае: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если, заявка на участие в отборе подана по истечении срока приема заявок на     участие в отборе, указанного в сообщении о проведении отбора;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если, не представлены в полном объеме документы, предусмотренные в пункте 3.3 настоящего Порядка.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>3.8. В случае внесения изменений в настоящий Порядок после официального          опубликования срок подачи заявок должен быть увеличен не менее чем на 7 дней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4.</w:t>
      </w:r>
      <w:r w:rsidRPr="00AF4D50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Порядок рассмотрения и оценки предложений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Комиссия по рассмотрению и оценке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Программу (далее –  Комиссия)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заявок.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Комиссия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создается  и утверждается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Постановлением Главы Кожевниковского сельского поселения.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Положение о комиссии по рассмотрению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Программу указан в приложении 5 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Использование иных критериев оценки заявок на участие в отборе не допускается.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отбора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 указанием набранных ими баллов и                   порядковых номеров, присвоенных участникам отбора по количеству набранных баллов.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4.3.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Меньший порядковый номер присваивается участнику отбора, набравшему большее количество баллов.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4.4.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4.5.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результате оценки представленных Заявок осуществляется формирование        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возрастания).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4.6.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4.7. Отбор признается несостоявшимся в случаях, если: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отклонены все заявки на участие в отборе;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не подано ни одной заявки на участие в отборе.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4.8.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Адресный перечень формируется из числа наиболее посещаемых муниципальных территорий общего пользования, прошедших отбор.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4.9. </w:t>
      </w:r>
      <w:proofErr w:type="gramStart"/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посещаемых муниципальных территорий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из бюджетов всех уровней, останется частично не распределенным среди участников отбора, Уполномоченный орган самостоятельно определяет (дополнить) перечень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посещаемых  муниципальных территорий общего пользования.</w:t>
      </w:r>
      <w:proofErr w:type="gramEnd"/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4.10. </w:t>
      </w:r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В случае если предложений по благоустройству наиболее посещаемой муниципальной территории общего пользования, соответствующих установленным требованиям и прошедшим одобрение Комиссии поступит на сумму </w:t>
      </w:r>
      <w:proofErr w:type="gramStart"/>
      <w:r w:rsidRPr="00AF4D50">
        <w:rPr>
          <w:rFonts w:ascii="Times New Roman" w:eastAsia="Calibri" w:hAnsi="Times New Roman" w:cs="Times New Roman"/>
          <w:sz w:val="24"/>
          <w:szCs w:val="24"/>
        </w:rPr>
        <w:t>большую</w:t>
      </w:r>
      <w:proofErr w:type="gramEnd"/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2017 год, в случае предоставления дополнительных средств, в том числе в порядке возможного перераспределения.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>4.11.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«Кожевниковского сельского поселения» (http://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kozhreg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Заявка на включение в муниципальную программу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«Благоустройство территории Кожевниковского сельского поселения на 2017 год»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_____________________________________________________________________________,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(наименование Уполномоченного органа)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изучив Порядок представления, рассмотрения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 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(наименование участника отбора)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лице 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(наименование должности и Ф.И.О.,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подписавшего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заявку)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изъявляет желание участвовать в отборе наиболее посещаемой муниципальной территории общего пользования, подлежащих благоустройству и предлагает наиболее посещаемую муниципальную территорию общего пользования, расположенную:______________________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(местонахождение наиболее посещаемой муниципальной территории общего пользования)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 настоящей заявке прилагаются документы согласно описи на ____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ОПИСЬ ДОКУМЕНТОВ, ПРИЛАГАЕМЫХ К ЗАЯВКЕ НА УЧАСТИЕ В ОТБОРЕ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представляется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в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обязательном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порядке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087"/>
      </w:tblGrid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Название документа</w:t>
            </w: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Количество листов</w:t>
            </w: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 т.д.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Должность ___________________________(фамилия, имя, отчество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подписавшего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заявку)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М.П.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зарегистрирована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«___»_______________2017 года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__________час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__________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ин.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(наименование должности)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____________ /_______________________/</w:t>
      </w: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 xml:space="preserve">         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подпись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)          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расшифровка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 xml:space="preserve"> </w:t>
      </w:r>
      <w:proofErr w:type="spellStart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подписи</w:t>
      </w:r>
      <w:proofErr w:type="spellEnd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)</w:t>
      </w: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70"/>
            </w:tblGrid>
            <w:tr w:rsidR="00AF4D50" w:rsidRPr="00AF4D50" w:rsidTr="00D92D78">
              <w:tc>
                <w:tcPr>
                  <w:tcW w:w="2500" w:type="pct"/>
                </w:tcPr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>ПРИЛОЖЕНИЕ №2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к порядку представления, рассмотрения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«Благоустройство территории Кожевниковского сельского поселения на 2017год»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Акт обследования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«___»_____________ 2017 года                                                                                   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произвели обследование наиболее посещаемой муниципальной территории общего пользования, расположенной по адресу: 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AF4D50" w:rsidRPr="00AF4D50" w:rsidTr="00D92D78">
        <w:trPr>
          <w:trHeight w:val="543"/>
        </w:trPr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элементов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vAlign w:val="center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Техническое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состояние</w:t>
            </w:r>
            <w:proofErr w:type="spellEnd"/>
          </w:p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Align w:val="center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1.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Проезжая часть</w:t>
            </w:r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Тротуар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Парковка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Детские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спортивные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площадки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5.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Инженерные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сети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6.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Малые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архитектурные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7.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Проч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е</w:t>
            </w:r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Глава  Кожевниковского сельского поселения ___________________________(М.В. Андреев)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М.П.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4791"/>
        <w:gridCol w:w="4791"/>
      </w:tblGrid>
      <w:tr w:rsidR="00AF4D50" w:rsidRPr="00AF4D50" w:rsidTr="00D92D78">
        <w:trPr>
          <w:trHeight w:val="2928"/>
        </w:trPr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№3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 оценки предложений заинтересованных лиц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</w:t>
      </w:r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СОСТАВ И СОДЕРЖАНИЕ </w:t>
      </w:r>
      <w:proofErr w:type="gramStart"/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ДИЗАЙН-ПРОЕКТА</w:t>
      </w:r>
      <w:proofErr w:type="gramEnd"/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 благоустройству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Текстовая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часть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-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пояснительная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записка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территории благоустройства, площади площадок дворового благоустройства;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тротуаров, пешеходных дорожек;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проездов;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озеленения;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площади участков временного хранения личного автотранспорта жителей; 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иные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показатели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spacing w:after="0" w:line="252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новые проезжие части, тротуары, пешеходные дорожки;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новые участки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оборудования мест временного хранения личного автотранспорта жителей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и(</w:t>
      </w:r>
      <w:proofErr w:type="spellStart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ов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 временного хранения личного автотранспорта жителей;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площадки для выгула животных;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размещение носителей информации (при необходимости); 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устройство ограждений (при необходимости устройства таковых);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временные и аварийные строения и сооружения, подлежащие разборке, демонтажу (при наличии таковых).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3-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D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дизайн-проектом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решений (желательно).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9E26AE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№5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</w:t>
            </w:r>
            <w:proofErr w:type="gram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лиц</w:t>
            </w:r>
            <w:proofErr w:type="gram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 xml:space="preserve">Положение о комиссии по рассмотрению и оценки предложений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«Благоустройство территории Кожевниковского сельского поселения на 2017 год»                                                                       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1.1. Комиссия по рассмотрению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2017год» создается в целях реализации муниципальной  программы «Благоустройство территории Кожевниковского сельского поселения на 2017год» для оценки поступивших предложений заинтересованных лиц и формирования адресного перечня наиболее посещаемых муниципальных территорий общего пользования, для проведения работ по благоустройству. 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1.2. Комиссия осуществляет свою деятельность в соответствии с настоящим           Положением.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Срок полномочий Комиссии устанавливается равным сроку реализации Программы.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1.3. Руководство Комиссией осуществляет председатель, а в его отсутствие - заместитель председателя.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1.6. Прием и регистрация обращений и документов осуществляется секретарем Комиссии.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1.8. Решения Комиссии в день их принятия оформляется протоколом, который         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1-ом экземпляре.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1.9. Решения Комиссии, оформленные протоколами, в течение трех рабочих дней направляются в Уполномоченный орган для формирования Перечня наиболее посещаемых муниципальных территории общего пользования в целях их последующего включения в Программу.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1.10. В случае необходимости Комиссией может быть принято решение о проведении дополнительного обследования наиболее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посещаемых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муниципальных территории общего пользования.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Комиссия вправе запрашивать необходимую информацию у органов местного самоуправления, организаций независимо от форм собственности.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1.11.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</w:t>
      </w:r>
      <w:r w:rsidRPr="00AF4D50">
        <w:rPr>
          <w:rFonts w:ascii="Times New Roman" w:eastAsia="Calibri" w:hAnsi="Times New Roman" w:cs="Times New Roman"/>
          <w:sz w:val="24"/>
          <w:szCs w:val="24"/>
        </w:rPr>
        <w:lastRenderedPageBreak/>
        <w:t>решения на официальном сайте администрации муниципального образования «Кожевниковское сельское поселение» (http://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kozhreg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№6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Критерии отбора наиболее посещаемой муниципальной территории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общего пользования в муниципальной программе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«Благоустройство территории Кожевниковского сельского поселения на 2017 год»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81"/>
        <w:gridCol w:w="1965"/>
      </w:tblGrid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Критерии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отбора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объектов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Бальная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оценка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,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046" w:type="dxa"/>
            <w:gridSpan w:val="2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3.5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046" w:type="dxa"/>
            <w:gridSpan w:val="2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4.1 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Устройство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ремонт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тротуаров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4,3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Необходимость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устройства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парковочных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карманов</w:t>
            </w:r>
            <w:proofErr w:type="spellEnd"/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4.5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4.6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Default="00AF4D50">
      <w:pPr>
        <w:rPr>
          <w:lang w:val="en-US"/>
        </w:rPr>
      </w:pPr>
    </w:p>
    <w:p w:rsidR="00AF4D50" w:rsidRPr="00AF4D50" w:rsidRDefault="00AF4D50">
      <w:pPr>
        <w:rPr>
          <w:lang w:val="en-US"/>
        </w:rPr>
      </w:pPr>
    </w:p>
    <w:sectPr w:rsidR="00AF4D50" w:rsidRPr="00AF4D50" w:rsidSect="00AF4D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D5"/>
    <w:rsid w:val="00016601"/>
    <w:rsid w:val="007613D5"/>
    <w:rsid w:val="009E26AE"/>
    <w:rsid w:val="00A37F2E"/>
    <w:rsid w:val="00A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AF4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AF4D5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F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6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AF4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AF4D5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F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</cp:revision>
  <cp:lastPrinted>2017-04-21T05:13:00Z</cp:lastPrinted>
  <dcterms:created xsi:type="dcterms:W3CDTF">2017-03-24T09:14:00Z</dcterms:created>
  <dcterms:modified xsi:type="dcterms:W3CDTF">2017-04-21T05:14:00Z</dcterms:modified>
</cp:coreProperties>
</file>